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efefe" w:val="clear"/>
        <w:spacing w:after="40" w:before="0" w:line="264" w:lineRule="auto"/>
        <w:ind w:left="-220" w:right="-220" w:firstLine="0"/>
        <w:rPr>
          <w:color w:val="212529"/>
        </w:rPr>
      </w:pPr>
      <w:bookmarkStart w:colFirst="0" w:colLast="0" w:name="_68bhelx6cobm" w:id="0"/>
      <w:bookmarkEnd w:id="0"/>
      <w:r w:rsidDel="00000000" w:rsidR="00000000" w:rsidRPr="00000000">
        <w:rPr>
          <w:color w:val="212529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"Ars-Food"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(далее – Оператор).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Пользователь – любой посетитель веб-сайта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5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3. Оператор может обрабатывать следующие персональные данные Пользователя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B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Цель обработки персональных данных Пользователя —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keepsme@yandex.ru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с пометкой «Отказ от уведомлениях о новых продуктах и услугах и специальных предложениях».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0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4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6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keepsme@yandex.ru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с пометкой «Актуализация персональных данных».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keepsme@yandex.ru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с пометкой «Отзыв согласия на обработку персональных данных».</w:t>
      </w:r>
    </w:p>
    <w:p w:rsidR="00000000" w:rsidDel="00000000" w:rsidP="00000000" w:rsidRDefault="00000000" w:rsidRPr="00000000" w14:paraId="0000002B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2F">
      <w:pPr>
        <w:shd w:fill="fefefe" w:val="clear"/>
        <w:ind w:left="-220" w:right="-220" w:firstLine="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efefe" w:val="clear"/>
        <w:ind w:left="-220" w:right="-220" w:firstLine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keepsme@yandex.ru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Актуальная версия Политики в свободном доступе расположена в сети Интернет по адресу </w:t>
      </w:r>
      <w:r w:rsidDel="00000000" w:rsidR="00000000" w:rsidRPr="00000000">
        <w:rPr>
          <w:color w:val="212529"/>
          <w:sz w:val="24"/>
          <w:szCs w:val="24"/>
          <w:shd w:fill="fcf8e3" w:val="clear"/>
          <w:rtl w:val="0"/>
        </w:rPr>
        <w:t xml:space="preserve">http://ars-food.ru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